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Grade 11 AP Language and Composition 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Vocabulary Quiz: Friday 11/15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Sentence Type: Student’s Choice 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sarcasm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From the Greek meaning “to tear flesh,” sarcasm involves bitter, caustic language that is meant to hurt or ridicule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something. It may use irony as a device, but not all ironic statements are sarcastic (that is, intended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ridicule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). When well done, sarcasm can be witty and insightful; when poorly done, it is simply cruel.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satire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A work that targets human vices and follies or social institutions and conventions for reform or ridicule. Regardless of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not the work aims to reform human behavior, satire is best seen as a style of writing rather than a purpose for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 It can be recognized by the many devices used effectively by the satirist: irony, wit, parody, caricature,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hyperbole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, understatement, and sarcasm. The effects of satire are varied, depending on the writer’s goal, but good satire,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humorous, is thought provoking and insightful about the human condition. Some modern satirists include Joseph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Heller (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Catch 22</w:t>
      </w:r>
      <w:r w:rsidRPr="001520A4">
        <w:rPr>
          <w:rFonts w:ascii="Times New Roman" w:hAnsi="Times New Roman" w:cs="Times New Roman"/>
          <w:sz w:val="24"/>
          <w:szCs w:val="24"/>
        </w:rPr>
        <w:t>) and Kurt Vonnegut (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Cat’s Cradle, Player Piano</w:t>
      </w:r>
      <w:r w:rsidRPr="001520A4">
        <w:rPr>
          <w:rFonts w:ascii="Times New Roman" w:hAnsi="Times New Roman" w:cs="Times New Roman"/>
          <w:sz w:val="24"/>
          <w:szCs w:val="24"/>
        </w:rPr>
        <w:t>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semantics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The branch of linguistics that studies the meaning of words, their historical and psychological development, their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connotations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, and their relation to one another.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style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The consideration of style has two purposes: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(1) An evaluation of the sum of the choices an author makes in blending diction, syntax, figurative language, and other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devices. Some authors’ styles are so idiosyncratic that we can quickly recognize works by the same author.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We can analyze and describe an author’s personal style and make judgments on how appropriate it is to the author’s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 Styles can be called flowery, explicit, succinct, rambling, bombastic, commonplace, incisive, laconic, etc.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(2) Classification of authors to a group and comparison of an author to similar authors. By means of such classification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comparison, we can see how an author’s style reflects and helps to define a historical period, such as 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Renaissance or the Victorian period, or a literary movement, such as the romantic, transcendental, or realist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complement – </w:t>
      </w:r>
      <w:r w:rsidRPr="001520A4">
        <w:rPr>
          <w:rFonts w:ascii="Times New Roman" w:hAnsi="Times New Roman" w:cs="Times New Roman"/>
          <w:sz w:val="24"/>
          <w:szCs w:val="24"/>
        </w:rPr>
        <w:t>The word (with any accompanying phrases) or clause that follows a linking verb and complements,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completes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, the subject of the sentence by either (1) renaming it (the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predicate nominative</w:t>
      </w:r>
      <w:r w:rsidRPr="001520A4">
        <w:rPr>
          <w:rFonts w:ascii="Times New Roman" w:hAnsi="Times New Roman" w:cs="Times New Roman"/>
          <w:sz w:val="24"/>
          <w:szCs w:val="24"/>
        </w:rPr>
        <w:t>) or (2) describing it (the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predicate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adjective</w:t>
      </w:r>
      <w:r w:rsidRPr="001520A4">
        <w:rPr>
          <w:rFonts w:ascii="Times New Roman" w:hAnsi="Times New Roman" w:cs="Times New Roman"/>
          <w:sz w:val="24"/>
          <w:szCs w:val="24"/>
        </w:rPr>
        <w:t>). These are defined below: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predicate nominative </w:t>
      </w:r>
      <w:r w:rsidRPr="001520A4">
        <w:rPr>
          <w:rFonts w:ascii="Times New Roman" w:hAnsi="Times New Roman" w:cs="Times New Roman"/>
          <w:sz w:val="24"/>
          <w:szCs w:val="24"/>
        </w:rPr>
        <w:t>– a noun, group of nouns, or noun clause that renames the subject. It, like 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adjective, follows a linking verb and is located in the predicate of the sentence.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Julia Roberts is a movie star.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star = </w:t>
      </w:r>
      <w:r w:rsidRPr="001520A4">
        <w:rPr>
          <w:rFonts w:ascii="Times New Roman" w:hAnsi="Times New Roman" w:cs="Times New Roman"/>
          <w:sz w:val="24"/>
          <w:szCs w:val="24"/>
        </w:rPr>
        <w:t>predicate nominative, as it renames the subject, Julia Roberts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predicate adjective -- </w:t>
      </w:r>
      <w:r w:rsidRPr="001520A4">
        <w:rPr>
          <w:rFonts w:ascii="Times New Roman" w:hAnsi="Times New Roman" w:cs="Times New Roman"/>
          <w:sz w:val="24"/>
          <w:szCs w:val="24"/>
        </w:rPr>
        <w:t>an adjective, a group of adjectives, or adjective clause that follows a linking verb.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It is in the predicate of the sentence, and modifies, or describes, the subject.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Warren remained optimistic.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optimistic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sz w:val="24"/>
          <w:szCs w:val="24"/>
        </w:rPr>
        <w:t>= predicate adjective, as it modifies the subject, Warren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subordinate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clause – </w:t>
      </w:r>
      <w:r w:rsidRPr="001520A4">
        <w:rPr>
          <w:rFonts w:ascii="Times New Roman" w:hAnsi="Times New Roman" w:cs="Times New Roman"/>
          <w:sz w:val="24"/>
          <w:szCs w:val="24"/>
        </w:rPr>
        <w:t>Like all clauses, this word group contains both a subject and a verb (plus any accompanying phrases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modifiers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), but unlike the independent clause, the subordinate clause cannot stand alone; it does not express a complete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. Also called a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dependent </w:t>
      </w:r>
      <w:r w:rsidRPr="001520A4">
        <w:rPr>
          <w:rFonts w:ascii="Times New Roman" w:hAnsi="Times New Roman" w:cs="Times New Roman"/>
          <w:sz w:val="24"/>
          <w:szCs w:val="24"/>
        </w:rPr>
        <w:t xml:space="preserve">clause, the subordinate clause depends on a main clause (or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r w:rsidRPr="001520A4">
        <w:rPr>
          <w:rFonts w:ascii="Times New Roman" w:hAnsi="Times New Roman" w:cs="Times New Roman"/>
          <w:sz w:val="24"/>
          <w:szCs w:val="24"/>
        </w:rPr>
        <w:t>clause)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its meaning. Easily recognized key words and phrases usually begin these clauses. For example: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although,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because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, unless, if, even though, since, as soon as, while, who, when, where, how </w:t>
      </w:r>
      <w:r w:rsidRPr="001520A4">
        <w:rPr>
          <w:rFonts w:ascii="Times New Roman" w:hAnsi="Times New Roman" w:cs="Times New Roman"/>
          <w:sz w:val="24"/>
          <w:szCs w:val="24"/>
        </w:rPr>
        <w:t xml:space="preserve">and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Yellowstone is a national park in the West that is known for its geysers.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underlined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phrase = subordinate clause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syllogism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From the Greek for “reckoning together,” a syllogism (or syllogistic reasoning or syllogistic logic) is a deductive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of formal logic that presents two premises (the first one called “major” and the second called “minor”) that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inevitably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lead to a sound conclusion. A frequently cited example proceeds as follows: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major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1520A4">
        <w:rPr>
          <w:rFonts w:ascii="Times New Roman" w:hAnsi="Times New Roman" w:cs="Times New Roman"/>
          <w:sz w:val="24"/>
          <w:szCs w:val="24"/>
        </w:rPr>
        <w:t>: All men are mortal.</w:t>
      </w:r>
      <w:bookmarkStart w:id="0" w:name="_GoBack"/>
    </w:p>
    <w:bookmarkEnd w:id="0"/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minor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1520A4">
        <w:rPr>
          <w:rFonts w:ascii="Times New Roman" w:hAnsi="Times New Roman" w:cs="Times New Roman"/>
          <w:sz w:val="24"/>
          <w:szCs w:val="24"/>
        </w:rPr>
        <w:t>: Socrates is a man.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: Therefore, Socrates is a mortal.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A syllogism’s conclusion is valid only if each of the two premises is valid. Syllogisms may also present the specific idea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(“Socrates”) and the general second (“all men”).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Adapted from V. Stevenson, Patrick Henry High School, and Abrams’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Glossary of Literary Terms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symbol/symbolism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Generally, anything that represents itself and stands for something else. Usually a symbol is something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concrete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-- such as an object, action, character, or scene – that represents something more abstract. However, symbols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symbolism can be much more complex. One system classifies symbols into three categories: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natural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objects and occurrences from nature to symbolize ideas commonly associated with them (dawn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symbolizing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hope or a new beginning, a rose symbolizing love, a tree symbolizing knowledge).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conventional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those that have been invested with meaning by a group (religious symbols such as a cross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Star of David; national symbols, such as a flag or an eagle; or group symbols, such as a skull and crossbones for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lastRenderedPageBreak/>
        <w:t>pirates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the scale of justice for lawyers).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literary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sometimes also conventional in the sense that they are found in a variety of works and are more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recognized. However, a work’s symbols may be more complicated, as is the jungle in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Heart of Darkness</w:t>
      </w:r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On the AP exam, try to determine what abstraction an object is a symbol for and to what extent it is successful in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representing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that abstraction.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synecdoche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a figure of speech in which a part of something is used to represent the whole or, occasionally, the whole is used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 part. Examples: To refer to a boat as a “sail”; to refer to a car as “wheels”; to refer to the violins, violas, etc.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an orchestra as “the strings.” **Different than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metonymy</w:t>
      </w:r>
      <w:r w:rsidRPr="001520A4">
        <w:rPr>
          <w:rFonts w:ascii="Times New Roman" w:hAnsi="Times New Roman" w:cs="Times New Roman"/>
          <w:sz w:val="24"/>
          <w:szCs w:val="24"/>
        </w:rPr>
        <w:t>, in which one thing is represented by another thing that is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commonly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physically associated with it (but is not necessarily a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part </w:t>
      </w:r>
      <w:r w:rsidRPr="001520A4">
        <w:rPr>
          <w:rFonts w:ascii="Times New Roman" w:hAnsi="Times New Roman" w:cs="Times New Roman"/>
          <w:sz w:val="24"/>
          <w:szCs w:val="24"/>
        </w:rPr>
        <w:t>of it), i.e., referring to a monarch as “the crown”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President as “The White House.”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synesthesia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when one kind of sensory stimulus evokes the subjective experience of another. Ex: The sight of red ants makes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itchy. In literature,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synesthesia </w:t>
      </w:r>
      <w:r w:rsidRPr="001520A4">
        <w:rPr>
          <w:rFonts w:ascii="Times New Roman" w:hAnsi="Times New Roman" w:cs="Times New Roman"/>
          <w:sz w:val="24"/>
          <w:szCs w:val="24"/>
        </w:rPr>
        <w:t>refers to the practice of associating two or more different senses in the same image.</w:t>
      </w:r>
    </w:p>
    <w:p w:rsidR="00D40683" w:rsidRPr="001520A4" w:rsidRDefault="001520A4" w:rsidP="001520A4">
      <w:pPr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Red Hot Chili Peppers’ song </w:t>
      </w:r>
      <w:proofErr w:type="spellStart"/>
      <w:r w:rsidRPr="001520A4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1520A4">
        <w:rPr>
          <w:rFonts w:ascii="Times New Roman" w:hAnsi="Times New Roman" w:cs="Times New Roman"/>
          <w:sz w:val="24"/>
          <w:szCs w:val="24"/>
        </w:rPr>
        <w:t xml:space="preserve"> the Pain,” is an example.</w:t>
      </w:r>
    </w:p>
    <w:sectPr w:rsidR="00D40683" w:rsidRPr="0015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4"/>
    <w:rsid w:val="001520A4"/>
    <w:rsid w:val="00171BF0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95E12-0131-4706-BDF3-566A699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2013-11-11T14:54:00Z</dcterms:created>
  <dcterms:modified xsi:type="dcterms:W3CDTF">2013-11-11T14:58:00Z</dcterms:modified>
</cp:coreProperties>
</file>