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caricature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verbal description, the purpose of which is to exaggerate or distort, for comic effect, a person’s distinctive physical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features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or other characteristics.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clause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 xml:space="preserve">A grammatical unit that contains both a subject and a verb. An </w:t>
      </w:r>
      <w:r>
        <w:rPr>
          <w:rFonts w:ascii="Times New Roman" w:hAnsi="Times New Roman" w:cs="Times New Roman"/>
          <w:i/>
          <w:iCs/>
          <w:sz w:val="20"/>
          <w:szCs w:val="20"/>
        </w:rPr>
        <w:t>independent</w:t>
      </w:r>
      <w:r>
        <w:rPr>
          <w:rFonts w:ascii="TimesNewRomanPSMT" w:hAnsi="TimesNewRomanPSMT" w:cs="TimesNewRomanPSMT"/>
          <w:sz w:val="20"/>
          <w:szCs w:val="20"/>
        </w:rPr>
        <w:t xml:space="preserve">, or </w:t>
      </w:r>
      <w:r>
        <w:rPr>
          <w:rFonts w:ascii="Times New Roman" w:hAnsi="Times New Roman" w:cs="Times New Roman"/>
          <w:i/>
          <w:iCs/>
          <w:sz w:val="20"/>
          <w:szCs w:val="20"/>
        </w:rPr>
        <w:t>main</w:t>
      </w:r>
      <w:r>
        <w:rPr>
          <w:rFonts w:ascii="TimesNewRomanPSMT" w:hAnsi="TimesNewRomanPSMT" w:cs="TimesNewRomanPSMT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clause </w:t>
      </w:r>
      <w:r>
        <w:rPr>
          <w:rFonts w:ascii="TimesNewRomanPSMT" w:hAnsi="TimesNewRomanPSMT" w:cs="TimesNewRomanPSMT"/>
          <w:sz w:val="20"/>
          <w:szCs w:val="20"/>
        </w:rPr>
        <w:t>expresses a complete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thought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and can stand alone as a sentence. A </w:t>
      </w:r>
      <w:r>
        <w:rPr>
          <w:rFonts w:ascii="Times New Roman" w:hAnsi="Times New Roman" w:cs="Times New Roman"/>
          <w:i/>
          <w:iCs/>
          <w:sz w:val="20"/>
          <w:szCs w:val="20"/>
        </w:rPr>
        <w:t>dependent</w:t>
      </w:r>
      <w:r>
        <w:rPr>
          <w:rFonts w:ascii="TimesNewRomanPSMT" w:hAnsi="TimesNewRomanPSMT" w:cs="TimesNewRomanPSMT"/>
          <w:sz w:val="20"/>
          <w:szCs w:val="20"/>
        </w:rPr>
        <w:t xml:space="preserve">, or </w:t>
      </w:r>
      <w:r>
        <w:rPr>
          <w:rFonts w:ascii="Times New Roman" w:hAnsi="Times New Roman" w:cs="Times New Roman"/>
          <w:i/>
          <w:iCs/>
          <w:sz w:val="20"/>
          <w:szCs w:val="20"/>
        </w:rPr>
        <w:t>subordinate clause</w:t>
      </w:r>
      <w:r>
        <w:rPr>
          <w:rFonts w:ascii="TimesNewRomanPSMT" w:hAnsi="TimesNewRomanPSMT" w:cs="TimesNewRomanPSMT"/>
          <w:sz w:val="20"/>
          <w:szCs w:val="20"/>
        </w:rPr>
        <w:t>, cannot stand alone as a sentence and must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be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accompanied by an independent clause. The point that you want to consider is the question of what or why the author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subordinates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one element should also become aware of making effective use of subordination in your own writing.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colloquial/colloquialism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use of slang or informalities in speech or writing. Not generally acceptable for formal writing,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colloquialisms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give a work a conversational, familiar tone. Colloquial expressions in writing include local or regional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dialects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conceit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fanciful expression, usually in the form of an extended metaphor or surprising analogy between seemingly dissimilar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objects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A conceit displays intellectual cleverness as a result of the unusual comparison being made.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Adapted from V. Stevenson, Patrick Henry High School, and Abrams’ </w:t>
      </w:r>
      <w:r>
        <w:rPr>
          <w:rFonts w:ascii="Times New Roman" w:hAnsi="Times New Roman" w:cs="Times New Roman"/>
          <w:i/>
          <w:iCs/>
          <w:sz w:val="16"/>
          <w:szCs w:val="16"/>
        </w:rPr>
        <w:t>Glossary of Literary Terms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connotation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non-literal, associative meaning of a word; the implied, suggested meaning. Connotations may involve ideas,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emotions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or attitudes.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denotation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 xml:space="preserve">The strict, literal, dictionary definition of a word, devoid of any emotion, attitude, or color. (Example: the </w:t>
      </w:r>
      <w:r>
        <w:rPr>
          <w:rFonts w:ascii="Times New Roman" w:hAnsi="Times New Roman" w:cs="Times New Roman"/>
          <w:i/>
          <w:iCs/>
          <w:sz w:val="20"/>
          <w:szCs w:val="20"/>
        </w:rPr>
        <w:t>denotation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of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knife would be a utensil used to cut; the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connotation </w:t>
      </w:r>
      <w:r>
        <w:rPr>
          <w:rFonts w:ascii="TimesNewRomanPSMT" w:hAnsi="TimesNewRomanPSMT" w:cs="TimesNewRomanPSMT"/>
          <w:sz w:val="20"/>
          <w:szCs w:val="20"/>
        </w:rPr>
        <w:t>of a knife might be fear, violence, anger, foreboding, etc.)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diction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Related to style, diction refers to the writer’s word choices, especially with regard to their correctness, clearness, or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effectiveness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For the AP exam, you should be able to describe an author’s diction (for example, formal or informal,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ornate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or plain) and understand the ways in which diction can complement the author’s purpose. Diction, combined with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syntax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figurative language, literary devices, etc., creates an author’s style.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didactic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 xml:space="preserve">From the Greek,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didactic </w:t>
      </w:r>
      <w:r>
        <w:rPr>
          <w:rFonts w:ascii="TimesNewRomanPSMT" w:hAnsi="TimesNewRomanPSMT" w:cs="TimesNewRomanPSMT"/>
          <w:sz w:val="20"/>
          <w:szCs w:val="20"/>
        </w:rPr>
        <w:t>literally means “teaching.” Didactic words have the primary aim of teaching or instructing,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especially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teaching of moral or ethical principles.</w:t>
      </w:r>
    </w:p>
    <w:p w:rsidR="00C65C7A" w:rsidRDefault="00C65C7A" w:rsidP="00C65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euphemism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From the Greek for “good speech,” euphemisms are a more agreeable or less offen</w:t>
      </w:r>
      <w:r>
        <w:rPr>
          <w:rFonts w:ascii="TimesNewRomanPSMT" w:hAnsi="TimesNewRomanPSMT" w:cs="TimesNewRomanPSMT"/>
          <w:sz w:val="20"/>
          <w:szCs w:val="20"/>
        </w:rPr>
        <w:t xml:space="preserve">sive substitute for a generally </w:t>
      </w:r>
      <w:r>
        <w:rPr>
          <w:rFonts w:ascii="TimesNewRomanPSMT" w:hAnsi="TimesNewRomanPSMT" w:cs="TimesNewRomanPSMT"/>
          <w:sz w:val="20"/>
          <w:szCs w:val="20"/>
        </w:rPr>
        <w:t xml:space="preserve">unpleasant word or concept. </w:t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>The euphemism may be used to adhere to standards of social or political correc</w:t>
      </w:r>
      <w:r>
        <w:rPr>
          <w:rFonts w:ascii="TimesNewRomanPSMT" w:hAnsi="TimesNewRomanPSMT" w:cs="TimesNewRomanPSMT"/>
          <w:sz w:val="20"/>
          <w:szCs w:val="20"/>
        </w:rPr>
        <w:t xml:space="preserve">tness or to </w:t>
      </w:r>
      <w:r>
        <w:rPr>
          <w:rFonts w:ascii="TimesNewRomanPSMT" w:hAnsi="TimesNewRomanPSMT" w:cs="TimesNewRomanPSMT"/>
          <w:sz w:val="20"/>
          <w:szCs w:val="20"/>
        </w:rPr>
        <w:t>add humor or ironic understatement. Saying “earthly remains” rather than “corpse” is an example of euphemism.</w:t>
      </w:r>
    </w:p>
    <w:p w:rsidR="00435354" w:rsidRDefault="00C65C7A" w:rsidP="00C65C7A"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extended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metaphor – </w:t>
      </w:r>
      <w:r>
        <w:rPr>
          <w:rFonts w:ascii="TimesNewRomanPSMT" w:hAnsi="TimesNewRomanPSMT" w:cs="TimesNewRomanPSMT"/>
          <w:sz w:val="20"/>
          <w:szCs w:val="20"/>
        </w:rPr>
        <w:t>A metaphor developed at great length, occurring frequently in or throughout a work.</w:t>
      </w:r>
    </w:p>
    <w:sectPr w:rsidR="0043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7A"/>
    <w:rsid w:val="00435354"/>
    <w:rsid w:val="00C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CFACE-95A6-4820-80FC-39ABE2B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dcterms:created xsi:type="dcterms:W3CDTF">2013-08-28T23:16:00Z</dcterms:created>
  <dcterms:modified xsi:type="dcterms:W3CDTF">2013-08-28T23:18:00Z</dcterms:modified>
</cp:coreProperties>
</file>