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 xml:space="preserve">Grade 11 AP Language and Composition </w:t>
      </w:r>
    </w:p>
    <w:p w:rsidR="001520A4" w:rsidRPr="001520A4" w:rsidRDefault="00ED2E6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Quiz: Friday 11/22</w:t>
      </w:r>
      <w:bookmarkStart w:id="0" w:name="_GoBack"/>
      <w:bookmarkEnd w:id="0"/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 xml:space="preserve">Sentence Type: Student’s Choice 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sarcasm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520A4">
        <w:rPr>
          <w:rFonts w:ascii="Times New Roman" w:hAnsi="Times New Roman" w:cs="Times New Roman"/>
          <w:sz w:val="24"/>
          <w:szCs w:val="24"/>
        </w:rPr>
        <w:t>From the Greek meaning “to tear flesh,” sarcasm involves bitter, caustic language that is meant to hurt or ridicule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someone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or something. It may use irony as a device, but not all ironic statements are sarcastic (that is, intended to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ridicule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). When well done, sarcasm can be witty and insightful; when poorly done, it is simply cruel.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satire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520A4">
        <w:rPr>
          <w:rFonts w:ascii="Times New Roman" w:hAnsi="Times New Roman" w:cs="Times New Roman"/>
          <w:sz w:val="24"/>
          <w:szCs w:val="24"/>
        </w:rPr>
        <w:t>A work that targets human vices and follies or social institutions and conventions for reform or ridicule. Regardless of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or not the work aims to reform human behavior, satire is best seen as a style of writing rather than a purpose for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. It can be recognized by the many devices used effectively by the satirist: irony, wit, parody, caricature,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hyperbole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, understatement, and sarcasm. The effects of satire are varied, depending on the writer’s goal, but good satire,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often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humorous, is thought provoking and insightful about the human condition. Some modern satirists include Joseph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Heller (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>Catch 22</w:t>
      </w:r>
      <w:r w:rsidRPr="001520A4">
        <w:rPr>
          <w:rFonts w:ascii="Times New Roman" w:hAnsi="Times New Roman" w:cs="Times New Roman"/>
          <w:sz w:val="24"/>
          <w:szCs w:val="24"/>
        </w:rPr>
        <w:t>) and Kurt Vonnegut (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>Cat’s Cradle, Player Piano</w:t>
      </w:r>
      <w:r w:rsidRPr="001520A4">
        <w:rPr>
          <w:rFonts w:ascii="Times New Roman" w:hAnsi="Times New Roman" w:cs="Times New Roman"/>
          <w:sz w:val="24"/>
          <w:szCs w:val="24"/>
        </w:rPr>
        <w:t>).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semantics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520A4">
        <w:rPr>
          <w:rFonts w:ascii="Times New Roman" w:hAnsi="Times New Roman" w:cs="Times New Roman"/>
          <w:sz w:val="24"/>
          <w:szCs w:val="24"/>
        </w:rPr>
        <w:t>The branch of linguistics that studies the meaning of words, their historical and psychological development, their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connotations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, and their relation to one another.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style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520A4">
        <w:rPr>
          <w:rFonts w:ascii="Times New Roman" w:hAnsi="Times New Roman" w:cs="Times New Roman"/>
          <w:sz w:val="24"/>
          <w:szCs w:val="24"/>
        </w:rPr>
        <w:t>The consideration of style has two purposes: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(1) An evaluation of the sum of the choices an author makes in blending diction, syntax, figurative language, and other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literary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devices. Some authors’ styles are so idiosyncratic that we can quickly recognize works by the same author.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We can analyze and describe an author’s personal style and make judgments on how appropriate it is to the author’s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purpose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. Styles can be called flowery, explicit, succinct, rambling, bombastic, commonplace, incisive, laconic, etc.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(2) Classification of authors to a group and comparison of an author to similar authors. By means of such classification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comparison, we can see how an author’s style reflects and helps to define a historical period, such as the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Renaissance or the Victorian period, or a literary movement, such as the romantic, transcendental, or realist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movement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complement – </w:t>
      </w:r>
      <w:r w:rsidRPr="001520A4">
        <w:rPr>
          <w:rFonts w:ascii="Times New Roman" w:hAnsi="Times New Roman" w:cs="Times New Roman"/>
          <w:sz w:val="24"/>
          <w:szCs w:val="24"/>
        </w:rPr>
        <w:t>The word (with any accompanying phrases) or clause that follows a linking verb and complements, or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completes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, the subject of the sentence by either (1) renaming it (the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>predicate nominative</w:t>
      </w:r>
      <w:r w:rsidRPr="001520A4">
        <w:rPr>
          <w:rFonts w:ascii="Times New Roman" w:hAnsi="Times New Roman" w:cs="Times New Roman"/>
          <w:sz w:val="24"/>
          <w:szCs w:val="24"/>
        </w:rPr>
        <w:t>) or (2) describing it (the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predicate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 adjective</w:t>
      </w:r>
      <w:r w:rsidRPr="001520A4">
        <w:rPr>
          <w:rFonts w:ascii="Times New Roman" w:hAnsi="Times New Roman" w:cs="Times New Roman"/>
          <w:sz w:val="24"/>
          <w:szCs w:val="24"/>
        </w:rPr>
        <w:t>). These are defined below: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proofErr w:type="gramStart"/>
      <w:r w:rsidRPr="001520A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predicate nominative </w:t>
      </w:r>
      <w:r w:rsidRPr="001520A4">
        <w:rPr>
          <w:rFonts w:ascii="Times New Roman" w:hAnsi="Times New Roman" w:cs="Times New Roman"/>
          <w:sz w:val="24"/>
          <w:szCs w:val="24"/>
        </w:rPr>
        <w:t>– a noun, group of nouns, or noun clause that renames the subject. It, like the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adjective, follows a linking verb and is located in the predicate of the sentence.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Example: Julia Roberts is a movie star.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movie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 star = </w:t>
      </w:r>
      <w:r w:rsidRPr="001520A4">
        <w:rPr>
          <w:rFonts w:ascii="Times New Roman" w:hAnsi="Times New Roman" w:cs="Times New Roman"/>
          <w:sz w:val="24"/>
          <w:szCs w:val="24"/>
        </w:rPr>
        <w:t>predicate nominative, as it renames the subject, Julia Roberts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1520A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predicate adjective -- </w:t>
      </w:r>
      <w:r w:rsidRPr="001520A4">
        <w:rPr>
          <w:rFonts w:ascii="Times New Roman" w:hAnsi="Times New Roman" w:cs="Times New Roman"/>
          <w:sz w:val="24"/>
          <w:szCs w:val="24"/>
        </w:rPr>
        <w:t>an adjective, a group of adjectives, or adjective clause that follows a linking verb.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It is in the predicate of the sentence, and modifies, or describes, the subject.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Example: Warren remained optimistic.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optimistic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20A4">
        <w:rPr>
          <w:rFonts w:ascii="Times New Roman" w:hAnsi="Times New Roman" w:cs="Times New Roman"/>
          <w:sz w:val="24"/>
          <w:szCs w:val="24"/>
        </w:rPr>
        <w:t>= predicate adjective, as it modifies the subject, Warren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subordinate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clause – </w:t>
      </w:r>
      <w:r w:rsidRPr="001520A4">
        <w:rPr>
          <w:rFonts w:ascii="Times New Roman" w:hAnsi="Times New Roman" w:cs="Times New Roman"/>
          <w:sz w:val="24"/>
          <w:szCs w:val="24"/>
        </w:rPr>
        <w:t>Like all clauses, this word group contains both a subject and a verb (plus any accompanying phrases or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modifiers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), but unlike the independent clause, the subordinate clause cannot stand alone; it does not express a complete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thought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. Also called a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dependent </w:t>
      </w:r>
      <w:r w:rsidRPr="001520A4">
        <w:rPr>
          <w:rFonts w:ascii="Times New Roman" w:hAnsi="Times New Roman" w:cs="Times New Roman"/>
          <w:sz w:val="24"/>
          <w:szCs w:val="24"/>
        </w:rPr>
        <w:t xml:space="preserve">clause, the subordinate clause depends on a main clause (or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independent </w:t>
      </w:r>
      <w:r w:rsidRPr="001520A4">
        <w:rPr>
          <w:rFonts w:ascii="Times New Roman" w:hAnsi="Times New Roman" w:cs="Times New Roman"/>
          <w:sz w:val="24"/>
          <w:szCs w:val="24"/>
        </w:rPr>
        <w:t>clause) to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its meaning. Easily recognized key words and phrases usually begin these clauses. For example: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>although,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because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, unless, if, even though, since, as soon as, while, who, when, where, how </w:t>
      </w:r>
      <w:r w:rsidRPr="001520A4">
        <w:rPr>
          <w:rFonts w:ascii="Times New Roman" w:hAnsi="Times New Roman" w:cs="Times New Roman"/>
          <w:sz w:val="24"/>
          <w:szCs w:val="24"/>
        </w:rPr>
        <w:t xml:space="preserve">and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Pr="001520A4">
        <w:rPr>
          <w:rFonts w:ascii="Times New Roman" w:hAnsi="Times New Roman" w:cs="Times New Roman"/>
          <w:sz w:val="24"/>
          <w:szCs w:val="24"/>
        </w:rPr>
        <w:t>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Example: Yellowstone is a national park in the West that is known for its geysers.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underlined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phrase = subordinate clause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syllogism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520A4">
        <w:rPr>
          <w:rFonts w:ascii="Times New Roman" w:hAnsi="Times New Roman" w:cs="Times New Roman"/>
          <w:sz w:val="24"/>
          <w:szCs w:val="24"/>
        </w:rPr>
        <w:t>From the Greek for “reckoning together,” a syllogism (or syllogistic reasoning or syllogistic logic) is a deductive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of formal logic that presents two premises (the first one called “major” and the second called “minor”) that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inevitably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lead to a sound conclusion. A frequently cited example proceeds as follows: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major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 premise</w:t>
      </w:r>
      <w:r w:rsidRPr="001520A4">
        <w:rPr>
          <w:rFonts w:ascii="Times New Roman" w:hAnsi="Times New Roman" w:cs="Times New Roman"/>
          <w:sz w:val="24"/>
          <w:szCs w:val="24"/>
        </w:rPr>
        <w:t>: All men are mortal.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minor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 premise</w:t>
      </w:r>
      <w:r w:rsidRPr="001520A4">
        <w:rPr>
          <w:rFonts w:ascii="Times New Roman" w:hAnsi="Times New Roman" w:cs="Times New Roman"/>
          <w:sz w:val="24"/>
          <w:szCs w:val="24"/>
        </w:rPr>
        <w:t>: Socrates is a man.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conclusion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: Therefore, Socrates is a mortal.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A syllogism’s conclusion is valid only if each of the two premises is valid. Syllogisms may also present the specific idea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(“Socrates”) and the general second (“all men”).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 xml:space="preserve">Adapted from V. Stevenson, Patrick Henry High School, and Abrams’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>Glossary of Literary Terms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symbol/symbolism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520A4">
        <w:rPr>
          <w:rFonts w:ascii="Times New Roman" w:hAnsi="Times New Roman" w:cs="Times New Roman"/>
          <w:sz w:val="24"/>
          <w:szCs w:val="24"/>
        </w:rPr>
        <w:t>Generally, anything that represents itself and stands for something else. Usually a symbol is something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concrete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-- such as an object, action, character, or scene – that represents something more abstract. However, symbols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symbolism can be much more complex. One system classifies symbols into three categories: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natural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 symbols </w:t>
      </w:r>
      <w:r w:rsidRPr="001520A4">
        <w:rPr>
          <w:rFonts w:ascii="Times New Roman" w:hAnsi="Times New Roman" w:cs="Times New Roman"/>
          <w:sz w:val="24"/>
          <w:szCs w:val="24"/>
        </w:rPr>
        <w:t>are objects and occurrences from nature to symbolize ideas commonly associated with them (dawn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symbolizing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hope or a new beginning, a rose symbolizing love, a tree symbolizing knowledge).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conventional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 symbols </w:t>
      </w:r>
      <w:r w:rsidRPr="001520A4">
        <w:rPr>
          <w:rFonts w:ascii="Times New Roman" w:hAnsi="Times New Roman" w:cs="Times New Roman"/>
          <w:sz w:val="24"/>
          <w:szCs w:val="24"/>
        </w:rPr>
        <w:t>are those that have been invested with meaning by a group (religious symbols such as a cross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Star of David; national symbols, such as a flag or an eagle; or group symbols, such as a skull and crossbones for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lastRenderedPageBreak/>
        <w:t>pirates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or the scale of justice for lawyers).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1520A4">
        <w:rPr>
          <w:rFonts w:ascii="Times New Roman" w:hAnsi="Times New Roman" w:cs="Times New Roman"/>
          <w:i/>
          <w:iCs/>
          <w:sz w:val="24"/>
          <w:szCs w:val="24"/>
        </w:rPr>
        <w:t>literary</w:t>
      </w:r>
      <w:proofErr w:type="gramEnd"/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 symbols </w:t>
      </w:r>
      <w:r w:rsidRPr="001520A4">
        <w:rPr>
          <w:rFonts w:ascii="Times New Roman" w:hAnsi="Times New Roman" w:cs="Times New Roman"/>
          <w:sz w:val="24"/>
          <w:szCs w:val="24"/>
        </w:rPr>
        <w:t>are sometimes also conventional in the sense that they are found in a variety of works and are more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recognized. However, a work’s symbols may be more complicated, as is the jungle in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>Heart of Darkness</w:t>
      </w:r>
      <w:r w:rsidRPr="001520A4">
        <w:rPr>
          <w:rFonts w:ascii="Times New Roman" w:hAnsi="Times New Roman" w:cs="Times New Roman"/>
          <w:sz w:val="24"/>
          <w:szCs w:val="24"/>
        </w:rPr>
        <w:t>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>On the AP exam, try to determine what abstraction an object is a symbol for and to what extent it is successful in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representing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that abstraction.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synecdoche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520A4">
        <w:rPr>
          <w:rFonts w:ascii="Times New Roman" w:hAnsi="Times New Roman" w:cs="Times New Roman"/>
          <w:sz w:val="24"/>
          <w:szCs w:val="24"/>
        </w:rPr>
        <w:t>a figure of speech in which a part of something is used to represent the whole or, occasionally, the whole is used to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a part. Examples: To refer to a boat as a “sail”; to refer to a car as “wheels”; to refer to the violins, violas, etc.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an orchestra as “the strings.” **Different than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>metonymy</w:t>
      </w:r>
      <w:r w:rsidRPr="001520A4">
        <w:rPr>
          <w:rFonts w:ascii="Times New Roman" w:hAnsi="Times New Roman" w:cs="Times New Roman"/>
          <w:sz w:val="24"/>
          <w:szCs w:val="24"/>
        </w:rPr>
        <w:t>, in which one thing is represented by another thing that is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commonly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physically associated with it (but is not necessarily a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part </w:t>
      </w:r>
      <w:r w:rsidRPr="001520A4">
        <w:rPr>
          <w:rFonts w:ascii="Times New Roman" w:hAnsi="Times New Roman" w:cs="Times New Roman"/>
          <w:sz w:val="24"/>
          <w:szCs w:val="24"/>
        </w:rPr>
        <w:t>of it), i.e., referring to a monarch as “the crown” or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President as “The White House.”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b/>
          <w:bCs/>
          <w:sz w:val="24"/>
          <w:szCs w:val="24"/>
        </w:rPr>
        <w:t>synesthesia</w:t>
      </w:r>
      <w:proofErr w:type="gramEnd"/>
      <w:r w:rsidRPr="001520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520A4">
        <w:rPr>
          <w:rFonts w:ascii="Times New Roman" w:hAnsi="Times New Roman" w:cs="Times New Roman"/>
          <w:sz w:val="24"/>
          <w:szCs w:val="24"/>
        </w:rPr>
        <w:t>when one kind of sensory stimulus evokes the subjective experience of another. Ex: The sight of red ants makes</w:t>
      </w:r>
    </w:p>
    <w:p w:rsidR="001520A4" w:rsidRPr="001520A4" w:rsidRDefault="001520A4" w:rsidP="0015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0A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 xml:space="preserve"> itchy. In literature, </w:t>
      </w:r>
      <w:r w:rsidRPr="001520A4">
        <w:rPr>
          <w:rFonts w:ascii="Times New Roman" w:hAnsi="Times New Roman" w:cs="Times New Roman"/>
          <w:i/>
          <w:iCs/>
          <w:sz w:val="24"/>
          <w:szCs w:val="24"/>
        </w:rPr>
        <w:t xml:space="preserve">synesthesia </w:t>
      </w:r>
      <w:r w:rsidRPr="001520A4">
        <w:rPr>
          <w:rFonts w:ascii="Times New Roman" w:hAnsi="Times New Roman" w:cs="Times New Roman"/>
          <w:sz w:val="24"/>
          <w:szCs w:val="24"/>
        </w:rPr>
        <w:t>refers to the practice of associating two or more different senses in the same image.</w:t>
      </w:r>
    </w:p>
    <w:p w:rsidR="00D40683" w:rsidRPr="001520A4" w:rsidRDefault="001520A4" w:rsidP="001520A4">
      <w:pPr>
        <w:rPr>
          <w:rFonts w:ascii="Times New Roman" w:hAnsi="Times New Roman" w:cs="Times New Roman"/>
          <w:sz w:val="24"/>
          <w:szCs w:val="24"/>
        </w:rPr>
      </w:pPr>
      <w:r w:rsidRPr="001520A4">
        <w:rPr>
          <w:rFonts w:ascii="Times New Roman" w:hAnsi="Times New Roman" w:cs="Times New Roman"/>
          <w:sz w:val="24"/>
          <w:szCs w:val="24"/>
        </w:rPr>
        <w:t xml:space="preserve">Red Hot Chili Peppers’ song </w:t>
      </w:r>
      <w:proofErr w:type="spellStart"/>
      <w:r w:rsidRPr="001520A4">
        <w:rPr>
          <w:rFonts w:ascii="Times New Roman" w:hAnsi="Times New Roman" w:cs="Times New Roman"/>
          <w:sz w:val="24"/>
          <w:szCs w:val="24"/>
        </w:rPr>
        <w:t>title</w:t>
      </w:r>
      <w:proofErr w:type="gramStart"/>
      <w:r w:rsidRPr="001520A4">
        <w:rPr>
          <w:rFonts w:ascii="Times New Roman" w:hAnsi="Times New Roman" w:cs="Times New Roman"/>
          <w:sz w:val="24"/>
          <w:szCs w:val="24"/>
        </w:rPr>
        <w:t>,“</w:t>
      </w:r>
      <w:proofErr w:type="gramEnd"/>
      <w:r w:rsidRPr="001520A4">
        <w:rPr>
          <w:rFonts w:ascii="Times New Roman" w:hAnsi="Times New Roman" w:cs="Times New Roman"/>
          <w:sz w:val="24"/>
          <w:szCs w:val="24"/>
        </w:rPr>
        <w:t>Taste</w:t>
      </w:r>
      <w:proofErr w:type="spellEnd"/>
      <w:r w:rsidRPr="001520A4">
        <w:rPr>
          <w:rFonts w:ascii="Times New Roman" w:hAnsi="Times New Roman" w:cs="Times New Roman"/>
          <w:sz w:val="24"/>
          <w:szCs w:val="24"/>
        </w:rPr>
        <w:t xml:space="preserve"> the Pain,” is an example.</w:t>
      </w:r>
    </w:p>
    <w:sectPr w:rsidR="00D40683" w:rsidRPr="00152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4"/>
    <w:rsid w:val="001520A4"/>
    <w:rsid w:val="00171BF0"/>
    <w:rsid w:val="00D40683"/>
    <w:rsid w:val="00E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95E12-0131-4706-BDF3-566A6996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2</cp:revision>
  <dcterms:created xsi:type="dcterms:W3CDTF">2013-11-11T14:54:00Z</dcterms:created>
  <dcterms:modified xsi:type="dcterms:W3CDTF">2013-11-18T18:59:00Z</dcterms:modified>
</cp:coreProperties>
</file>